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FA" w:rsidRPr="008D3034" w:rsidRDefault="00390D59" w:rsidP="00940C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НОВОСЕРГИЕВСКОГО</w:t>
      </w:r>
      <w:r w:rsidR="00940CFA" w:rsidRPr="008D3034">
        <w:rPr>
          <w:b/>
          <w:sz w:val="28"/>
          <w:szCs w:val="28"/>
        </w:rPr>
        <w:t xml:space="preserve">   СЕЛЬСКОГО </w:t>
      </w:r>
    </w:p>
    <w:p w:rsidR="00940CFA" w:rsidRPr="008D3034" w:rsidRDefault="00940CFA" w:rsidP="00940C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034">
        <w:rPr>
          <w:b/>
          <w:sz w:val="28"/>
          <w:szCs w:val="28"/>
        </w:rPr>
        <w:t xml:space="preserve">  ПОСЕЛЕНИЯ КРЫЛОВСКОГО РАЙОНА</w:t>
      </w:r>
    </w:p>
    <w:p w:rsidR="00940CFA" w:rsidRPr="008D3034" w:rsidRDefault="00940CFA" w:rsidP="00940C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CFA" w:rsidRPr="008D3034" w:rsidRDefault="00940CFA" w:rsidP="00940C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034">
        <w:rPr>
          <w:b/>
          <w:sz w:val="28"/>
          <w:szCs w:val="28"/>
        </w:rPr>
        <w:t>ПОСТАНОВЛЕНИЕ</w:t>
      </w:r>
    </w:p>
    <w:p w:rsidR="00940CFA" w:rsidRPr="008D3034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CFA" w:rsidRPr="00883B05" w:rsidRDefault="00883B05" w:rsidP="00940CFA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940CFA" w:rsidRPr="00883B05">
        <w:rPr>
          <w:sz w:val="28"/>
          <w:szCs w:val="28"/>
        </w:rPr>
        <w:t xml:space="preserve">   от</w:t>
      </w:r>
      <w:r w:rsidR="00B85438" w:rsidRPr="00883B05">
        <w:rPr>
          <w:sz w:val="28"/>
          <w:szCs w:val="28"/>
        </w:rPr>
        <w:t xml:space="preserve"> 26 октября 2015г</w:t>
      </w:r>
      <w:r w:rsidRPr="00883B05">
        <w:rPr>
          <w:sz w:val="28"/>
          <w:szCs w:val="28"/>
        </w:rPr>
        <w:t>ода</w:t>
      </w:r>
      <w:r w:rsidRPr="00883B05">
        <w:rPr>
          <w:sz w:val="28"/>
          <w:szCs w:val="28"/>
        </w:rPr>
        <w:tab/>
      </w:r>
      <w:r w:rsidRPr="00883B05">
        <w:rPr>
          <w:sz w:val="28"/>
          <w:szCs w:val="28"/>
        </w:rPr>
        <w:tab/>
      </w:r>
      <w:r w:rsidRPr="00883B05">
        <w:rPr>
          <w:sz w:val="28"/>
          <w:szCs w:val="28"/>
        </w:rPr>
        <w:tab/>
      </w:r>
      <w:r w:rsidR="00940CFA" w:rsidRPr="00883B05">
        <w:rPr>
          <w:sz w:val="28"/>
          <w:szCs w:val="28"/>
        </w:rPr>
        <w:t xml:space="preserve">                                        №</w:t>
      </w:r>
      <w:r w:rsidR="00B85438" w:rsidRPr="00883B05">
        <w:rPr>
          <w:sz w:val="28"/>
          <w:szCs w:val="28"/>
        </w:rPr>
        <w:t>99</w:t>
      </w:r>
      <w:r w:rsidR="00940CFA" w:rsidRPr="00883B05">
        <w:rPr>
          <w:sz w:val="28"/>
          <w:szCs w:val="28"/>
        </w:rPr>
        <w:t xml:space="preserve">  </w:t>
      </w:r>
    </w:p>
    <w:p w:rsidR="00940CFA" w:rsidRPr="00883B05" w:rsidRDefault="00940CFA" w:rsidP="00940C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83B05">
        <w:rPr>
          <w:sz w:val="28"/>
          <w:szCs w:val="28"/>
        </w:rPr>
        <w:t>ст.Ново</w:t>
      </w:r>
      <w:r w:rsidR="00390D59" w:rsidRPr="00883B05">
        <w:rPr>
          <w:sz w:val="28"/>
          <w:szCs w:val="28"/>
        </w:rPr>
        <w:t>сергиевская</w:t>
      </w:r>
      <w:proofErr w:type="spellEnd"/>
    </w:p>
    <w:p w:rsidR="00940CFA" w:rsidRPr="008D3034" w:rsidRDefault="00940CFA" w:rsidP="00940C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CFA" w:rsidRDefault="00940CFA" w:rsidP="00940CFA">
      <w:pPr>
        <w:spacing w:line="360" w:lineRule="auto"/>
        <w:ind w:right="5"/>
        <w:rPr>
          <w:sz w:val="28"/>
          <w:szCs w:val="28"/>
        </w:rPr>
      </w:pPr>
      <w:bookmarkStart w:id="0" w:name="_GoBack"/>
      <w:bookmarkEnd w:id="0"/>
    </w:p>
    <w:p w:rsidR="00940CFA" w:rsidRPr="008D3034" w:rsidRDefault="00940CFA" w:rsidP="00940CFA">
      <w:pPr>
        <w:spacing w:line="360" w:lineRule="auto"/>
        <w:ind w:right="5"/>
        <w:rPr>
          <w:sz w:val="28"/>
          <w:szCs w:val="28"/>
        </w:rPr>
      </w:pPr>
    </w:p>
    <w:p w:rsidR="00940CFA" w:rsidRPr="00940CFA" w:rsidRDefault="00940CFA" w:rsidP="00940CFA">
      <w:pPr>
        <w:jc w:val="center"/>
        <w:rPr>
          <w:b/>
          <w:bCs/>
          <w:sz w:val="28"/>
          <w:szCs w:val="28"/>
        </w:rPr>
      </w:pPr>
      <w:r w:rsidRPr="00940CFA">
        <w:rPr>
          <w:b/>
          <w:sz w:val="28"/>
          <w:szCs w:val="28"/>
        </w:rPr>
        <w:t xml:space="preserve">Об   </w:t>
      </w:r>
      <w:proofErr w:type="gramStart"/>
      <w:r w:rsidRPr="00940CFA">
        <w:rPr>
          <w:b/>
          <w:sz w:val="28"/>
          <w:szCs w:val="28"/>
        </w:rPr>
        <w:t xml:space="preserve">утверждении  </w:t>
      </w:r>
      <w:r w:rsidRPr="00940CFA">
        <w:rPr>
          <w:b/>
          <w:bCs/>
          <w:sz w:val="28"/>
          <w:szCs w:val="28"/>
        </w:rPr>
        <w:t>Перечня</w:t>
      </w:r>
      <w:proofErr w:type="gramEnd"/>
      <w:r w:rsidRPr="00940CFA">
        <w:rPr>
          <w:b/>
          <w:bCs/>
          <w:sz w:val="28"/>
          <w:szCs w:val="28"/>
        </w:rPr>
        <w:t xml:space="preserve"> товаров, работ, услуг для обеспечения му</w:t>
      </w:r>
      <w:r w:rsidR="00390D59">
        <w:rPr>
          <w:b/>
          <w:bCs/>
          <w:sz w:val="28"/>
          <w:szCs w:val="28"/>
        </w:rPr>
        <w:t>ниципальных нужд Новосергиевского</w:t>
      </w:r>
      <w:r w:rsidRPr="00940CFA">
        <w:rPr>
          <w:b/>
          <w:bCs/>
          <w:sz w:val="28"/>
          <w:szCs w:val="28"/>
        </w:rPr>
        <w:t xml:space="preserve">  сельского поселения Крыловского  района, подлежащих обязательному нормированию</w:t>
      </w:r>
    </w:p>
    <w:p w:rsidR="00940CFA" w:rsidRDefault="00940CFA" w:rsidP="00940CFA">
      <w:pPr>
        <w:pStyle w:val="ConsPlusTitle"/>
        <w:widowControl/>
        <w:jc w:val="center"/>
        <w:rPr>
          <w:bCs w:val="0"/>
        </w:rPr>
      </w:pPr>
    </w:p>
    <w:p w:rsidR="00940CFA" w:rsidRDefault="00940CFA" w:rsidP="00940CFA">
      <w:pPr>
        <w:pStyle w:val="ConsPlusTitle"/>
        <w:widowControl/>
        <w:jc w:val="center"/>
        <w:rPr>
          <w:bCs w:val="0"/>
        </w:rPr>
      </w:pPr>
    </w:p>
    <w:p w:rsidR="00940CFA" w:rsidRPr="00940CFA" w:rsidRDefault="00940CFA" w:rsidP="00940CFA">
      <w:pPr>
        <w:pStyle w:val="ConsPlusTitle"/>
        <w:widowControl/>
        <w:jc w:val="center"/>
        <w:rPr>
          <w:bCs w:val="0"/>
        </w:rPr>
      </w:pPr>
    </w:p>
    <w:p w:rsidR="00940CFA" w:rsidRPr="008D3034" w:rsidRDefault="00940CFA" w:rsidP="00940CFA">
      <w:pPr>
        <w:pStyle w:val="ConsPlusTitle"/>
        <w:widowControl/>
        <w:ind w:firstLine="709"/>
        <w:jc w:val="both"/>
        <w:rPr>
          <w:b w:val="0"/>
        </w:rPr>
      </w:pPr>
      <w:r w:rsidRPr="008D3034">
        <w:rPr>
          <w:b w:val="0"/>
        </w:rPr>
        <w:t>В соответствии с частью 4 статьи 19 Федерального закона от 05.04.2013 №44-ФЗ «О контрактной системе в сфере закупок товаров, работ и услуг</w:t>
      </w:r>
      <w:r w:rsidRPr="008D3034">
        <w:rPr>
          <w:b w:val="0"/>
          <w:color w:val="000000"/>
        </w:rPr>
        <w:t xml:space="preserve"> для обеспечения государственных и муниципальных нужд</w:t>
      </w:r>
      <w:r w:rsidRPr="008D3034">
        <w:rPr>
          <w:b w:val="0"/>
        </w:rPr>
        <w:t xml:space="preserve">», п о с </w:t>
      </w:r>
      <w:proofErr w:type="gramStart"/>
      <w:r w:rsidRPr="008D3034">
        <w:rPr>
          <w:b w:val="0"/>
        </w:rPr>
        <w:t>т</w:t>
      </w:r>
      <w:proofErr w:type="gramEnd"/>
      <w:r w:rsidRPr="008D3034">
        <w:rPr>
          <w:b w:val="0"/>
        </w:rPr>
        <w:t xml:space="preserve"> а н о в л я ю:</w:t>
      </w:r>
    </w:p>
    <w:p w:rsidR="00940CFA" w:rsidRPr="008D3034" w:rsidRDefault="00940CFA" w:rsidP="00940CFA">
      <w:pPr>
        <w:pStyle w:val="ConsPlusTitle"/>
        <w:widowControl/>
        <w:ind w:firstLine="709"/>
        <w:jc w:val="both"/>
        <w:rPr>
          <w:lang w:eastAsia="en-US"/>
        </w:rPr>
      </w:pPr>
      <w:r w:rsidRPr="008D3034">
        <w:rPr>
          <w:b w:val="0"/>
        </w:rPr>
        <w:t xml:space="preserve">1. Утвердить </w:t>
      </w:r>
      <w:r w:rsidRPr="00940CFA">
        <w:rPr>
          <w:b w:val="0"/>
          <w:bCs w:val="0"/>
        </w:rPr>
        <w:t>Переч</w:t>
      </w:r>
      <w:r>
        <w:rPr>
          <w:b w:val="0"/>
          <w:bCs w:val="0"/>
        </w:rPr>
        <w:t>ень</w:t>
      </w:r>
      <w:r w:rsidRPr="00940CFA">
        <w:rPr>
          <w:b w:val="0"/>
          <w:bCs w:val="0"/>
        </w:rPr>
        <w:t xml:space="preserve"> товаров, работ, услуг для обеспечения му</w:t>
      </w:r>
      <w:r w:rsidR="00390D59">
        <w:rPr>
          <w:b w:val="0"/>
          <w:bCs w:val="0"/>
        </w:rPr>
        <w:t xml:space="preserve">ниципальных нужд </w:t>
      </w:r>
      <w:proofErr w:type="gramStart"/>
      <w:r w:rsidR="00390D59">
        <w:rPr>
          <w:b w:val="0"/>
          <w:bCs w:val="0"/>
        </w:rPr>
        <w:t>Новосергиевского</w:t>
      </w:r>
      <w:r w:rsidRPr="00940CFA">
        <w:rPr>
          <w:b w:val="0"/>
          <w:bCs w:val="0"/>
        </w:rPr>
        <w:t xml:space="preserve">  сельского</w:t>
      </w:r>
      <w:proofErr w:type="gramEnd"/>
      <w:r w:rsidRPr="00940CFA">
        <w:rPr>
          <w:b w:val="0"/>
          <w:bCs w:val="0"/>
        </w:rPr>
        <w:t xml:space="preserve"> поселения Крыловского  района, подлежащих обязательному нормированию</w:t>
      </w:r>
      <w:r>
        <w:rPr>
          <w:b w:val="0"/>
          <w:bCs w:val="0"/>
        </w:rPr>
        <w:t>, согласно приложения.</w:t>
      </w:r>
    </w:p>
    <w:p w:rsidR="00940CFA" w:rsidRPr="008D3034" w:rsidRDefault="00940CFA" w:rsidP="00940CFA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D3034">
        <w:rPr>
          <w:sz w:val="28"/>
          <w:szCs w:val="28"/>
        </w:rPr>
        <w:t>Настоящее постановление разместить на официальном сайте администрации  Новопашковского сельского поселения.</w:t>
      </w:r>
    </w:p>
    <w:p w:rsidR="00940CFA" w:rsidRPr="008D3034" w:rsidRDefault="00940CFA" w:rsidP="00940CFA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D3034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40CFA" w:rsidRPr="008D3034" w:rsidRDefault="00940CFA" w:rsidP="00940CFA">
      <w:pPr>
        <w:pStyle w:val="ConsPlusTitle"/>
        <w:widowControl/>
        <w:ind w:firstLine="709"/>
        <w:jc w:val="both"/>
        <w:rPr>
          <w:b w:val="0"/>
        </w:rPr>
      </w:pPr>
      <w:r w:rsidRPr="008D3034">
        <w:rPr>
          <w:b w:val="0"/>
        </w:rPr>
        <w:t>4. Настоящее постановление вступает в силу после его официального обнародования.</w:t>
      </w:r>
    </w:p>
    <w:p w:rsidR="00940CFA" w:rsidRPr="008D3034" w:rsidRDefault="00940CFA" w:rsidP="00940CFA">
      <w:pPr>
        <w:pStyle w:val="ConsPlusTitle"/>
        <w:widowControl/>
        <w:jc w:val="both"/>
        <w:rPr>
          <w:b w:val="0"/>
        </w:rPr>
      </w:pPr>
    </w:p>
    <w:p w:rsidR="00940CFA" w:rsidRPr="008D3034" w:rsidRDefault="00940CFA" w:rsidP="00940CFA">
      <w:pPr>
        <w:jc w:val="both"/>
        <w:rPr>
          <w:sz w:val="28"/>
          <w:szCs w:val="28"/>
        </w:rPr>
      </w:pPr>
    </w:p>
    <w:p w:rsidR="00940CFA" w:rsidRPr="008D3034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0D59" w:rsidRDefault="00390D59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390D59" w:rsidRDefault="00390D59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 Новосергиевского</w:t>
      </w:r>
    </w:p>
    <w:p w:rsidR="00940CFA" w:rsidRPr="008D3034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034">
        <w:rPr>
          <w:sz w:val="28"/>
          <w:szCs w:val="28"/>
        </w:rPr>
        <w:t>сельского поселения</w:t>
      </w:r>
      <w:r w:rsidR="00390D59">
        <w:rPr>
          <w:sz w:val="28"/>
          <w:szCs w:val="28"/>
        </w:rPr>
        <w:t xml:space="preserve">                                                  Е.В.Терентьева</w:t>
      </w:r>
    </w:p>
    <w:p w:rsidR="00940CFA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CFA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CFA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CFA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CFA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CFA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CFA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CFA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CFA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0C01" w:rsidRDefault="00A20C01" w:rsidP="00A20C01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20C01" w:rsidRDefault="00A20C01" w:rsidP="00A20C01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20C01" w:rsidRPr="00A20C01" w:rsidRDefault="00A20C01" w:rsidP="00A20C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Новосергиевского сельского поселения Крыловского района Краснодарского </w:t>
      </w:r>
      <w:r>
        <w:rPr>
          <w:sz w:val="28"/>
          <w:szCs w:val="28"/>
        </w:rPr>
        <w:t xml:space="preserve">края от 26 </w:t>
      </w:r>
      <w:proofErr w:type="gramStart"/>
      <w:r>
        <w:rPr>
          <w:sz w:val="28"/>
          <w:szCs w:val="28"/>
        </w:rPr>
        <w:t>октября  2015</w:t>
      </w:r>
      <w:proofErr w:type="gramEnd"/>
      <w:r>
        <w:rPr>
          <w:sz w:val="28"/>
          <w:szCs w:val="28"/>
        </w:rPr>
        <w:t>года № 99</w:t>
      </w:r>
      <w:r>
        <w:rPr>
          <w:sz w:val="28"/>
          <w:szCs w:val="28"/>
        </w:rPr>
        <w:t xml:space="preserve"> «</w:t>
      </w:r>
      <w:r w:rsidRPr="00A20C01">
        <w:rPr>
          <w:sz w:val="28"/>
          <w:szCs w:val="28"/>
        </w:rPr>
        <w:t xml:space="preserve">Об   утверждении  </w:t>
      </w:r>
      <w:r w:rsidRPr="00A20C01">
        <w:rPr>
          <w:bCs/>
          <w:sz w:val="28"/>
          <w:szCs w:val="28"/>
        </w:rPr>
        <w:t>Перечня товаров, работ, услуг для обеспечения муниципальных нужд Новосергиевского  сельского поселения Крыловского  района, подлежащих обязательному нормированию</w:t>
      </w:r>
      <w:r w:rsidRPr="00A20C01">
        <w:rPr>
          <w:sz w:val="28"/>
          <w:szCs w:val="28"/>
        </w:rPr>
        <w:t>»</w:t>
      </w:r>
    </w:p>
    <w:p w:rsidR="00A20C01" w:rsidRDefault="00A20C01" w:rsidP="00A20C01">
      <w:pPr>
        <w:rPr>
          <w:sz w:val="28"/>
          <w:szCs w:val="28"/>
        </w:rPr>
      </w:pPr>
    </w:p>
    <w:p w:rsidR="00A20C01" w:rsidRDefault="00A20C01" w:rsidP="00A20C01">
      <w:pPr>
        <w:pStyle w:val="Style5"/>
        <w:widowControl/>
        <w:spacing w:before="53"/>
        <w:ind w:left="206"/>
        <w:contextualSpacing/>
        <w:jc w:val="both"/>
        <w:rPr>
          <w:b/>
          <w:sz w:val="28"/>
          <w:szCs w:val="28"/>
        </w:rPr>
      </w:pPr>
    </w:p>
    <w:p w:rsidR="00A20C01" w:rsidRDefault="00A20C01" w:rsidP="00A20C01">
      <w:pPr>
        <w:pStyle w:val="a7"/>
        <w:jc w:val="center"/>
        <w:rPr>
          <w:b/>
          <w:sz w:val="28"/>
          <w:szCs w:val="28"/>
        </w:rPr>
      </w:pPr>
    </w:p>
    <w:p w:rsidR="00A20C01" w:rsidRDefault="00A20C01" w:rsidP="00A20C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20C01" w:rsidRDefault="00A20C01" w:rsidP="00A20C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Е.В.Терентьева</w:t>
      </w:r>
    </w:p>
    <w:p w:rsidR="00A20C01" w:rsidRDefault="00A20C01" w:rsidP="00A20C01">
      <w:pPr>
        <w:pStyle w:val="a7"/>
        <w:jc w:val="both"/>
        <w:rPr>
          <w:sz w:val="28"/>
          <w:szCs w:val="28"/>
        </w:rPr>
      </w:pPr>
    </w:p>
    <w:p w:rsidR="00A20C01" w:rsidRDefault="00A20C01" w:rsidP="00A20C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20C01" w:rsidRDefault="00A20C01" w:rsidP="00A20C01">
      <w:pPr>
        <w:rPr>
          <w:sz w:val="28"/>
          <w:szCs w:val="28"/>
        </w:rPr>
      </w:pPr>
      <w:r>
        <w:rPr>
          <w:sz w:val="28"/>
          <w:szCs w:val="28"/>
        </w:rPr>
        <w:t>Эксперт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М.С.Тарасенко</w:t>
      </w:r>
    </w:p>
    <w:p w:rsidR="00A20C01" w:rsidRDefault="00A20C01" w:rsidP="00A20C01">
      <w:pPr>
        <w:ind w:left="5052" w:firstLine="708"/>
        <w:rPr>
          <w:bCs/>
          <w:sz w:val="28"/>
          <w:szCs w:val="28"/>
        </w:rPr>
      </w:pPr>
    </w:p>
    <w:p w:rsidR="00A20C01" w:rsidRDefault="00A20C01" w:rsidP="00A20C01">
      <w:pPr>
        <w:ind w:left="5052" w:firstLine="708"/>
        <w:rPr>
          <w:bCs/>
          <w:sz w:val="28"/>
          <w:szCs w:val="28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pStyle w:val="a5"/>
        <w:ind w:firstLine="0"/>
        <w:jc w:val="right"/>
        <w:rPr>
          <w:b/>
          <w:lang w:val="ru-RU"/>
        </w:rPr>
      </w:pPr>
    </w:p>
    <w:p w:rsidR="00A20C01" w:rsidRDefault="00A20C01" w:rsidP="00A20C01">
      <w:pPr>
        <w:keepNext/>
        <w:shd w:val="clear" w:color="auto" w:fill="FFFFFF"/>
        <w:spacing w:line="228" w:lineRule="auto"/>
        <w:ind w:firstLine="851"/>
        <w:jc w:val="center"/>
        <w:rPr>
          <w:b/>
          <w:bCs/>
          <w:sz w:val="28"/>
          <w:szCs w:val="28"/>
        </w:rPr>
      </w:pPr>
    </w:p>
    <w:p w:rsidR="00940CFA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CFA" w:rsidRDefault="00940CFA" w:rsidP="00940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CFA" w:rsidRPr="005A62CB" w:rsidRDefault="00A20C01" w:rsidP="00A20C01">
      <w:pPr>
        <w:pStyle w:val="Default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              </w:t>
      </w:r>
      <w:r w:rsidR="00940CFA">
        <w:rPr>
          <w:sz w:val="28"/>
          <w:szCs w:val="26"/>
        </w:rPr>
        <w:t xml:space="preserve">Приложение  </w:t>
      </w:r>
    </w:p>
    <w:p w:rsidR="00940CFA" w:rsidRDefault="00A20C01" w:rsidP="00A20C01">
      <w:pPr>
        <w:pStyle w:val="Default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</w:t>
      </w:r>
      <w:r w:rsidR="00940CFA">
        <w:rPr>
          <w:sz w:val="28"/>
          <w:szCs w:val="26"/>
        </w:rPr>
        <w:t xml:space="preserve">к </w:t>
      </w:r>
      <w:r w:rsidR="00940CFA" w:rsidRPr="005A62CB">
        <w:rPr>
          <w:sz w:val="28"/>
          <w:szCs w:val="26"/>
        </w:rPr>
        <w:t>постановлени</w:t>
      </w:r>
      <w:r w:rsidR="00940CFA">
        <w:rPr>
          <w:sz w:val="28"/>
          <w:szCs w:val="26"/>
        </w:rPr>
        <w:t>ю</w:t>
      </w:r>
      <w:r w:rsidR="00940CFA" w:rsidRPr="005A62CB">
        <w:rPr>
          <w:sz w:val="28"/>
          <w:szCs w:val="26"/>
        </w:rPr>
        <w:t xml:space="preserve"> администрации</w:t>
      </w:r>
    </w:p>
    <w:p w:rsidR="00940CFA" w:rsidRDefault="00390D59" w:rsidP="00940CFA">
      <w:pPr>
        <w:pStyle w:val="Default"/>
        <w:jc w:val="right"/>
        <w:rPr>
          <w:sz w:val="28"/>
          <w:szCs w:val="26"/>
        </w:rPr>
      </w:pPr>
      <w:proofErr w:type="gramStart"/>
      <w:r>
        <w:rPr>
          <w:sz w:val="28"/>
          <w:szCs w:val="26"/>
        </w:rPr>
        <w:t>Новосергиевского</w:t>
      </w:r>
      <w:r w:rsidR="00940CFA">
        <w:rPr>
          <w:sz w:val="28"/>
          <w:szCs w:val="26"/>
        </w:rPr>
        <w:t xml:space="preserve">  сельского</w:t>
      </w:r>
      <w:proofErr w:type="gramEnd"/>
      <w:r w:rsidR="00940CFA">
        <w:rPr>
          <w:sz w:val="28"/>
          <w:szCs w:val="26"/>
        </w:rPr>
        <w:t xml:space="preserve"> поселения </w:t>
      </w:r>
    </w:p>
    <w:p w:rsidR="00940CFA" w:rsidRPr="005A62CB" w:rsidRDefault="00A20C01" w:rsidP="00A20C01">
      <w:pPr>
        <w:pStyle w:val="Default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</w:t>
      </w:r>
      <w:r w:rsidR="00940CFA" w:rsidRPr="005A62CB">
        <w:rPr>
          <w:sz w:val="28"/>
          <w:szCs w:val="26"/>
        </w:rPr>
        <w:t xml:space="preserve">от _____________ г. №_______ </w:t>
      </w:r>
    </w:p>
    <w:p w:rsidR="00940CFA" w:rsidRDefault="00940CFA" w:rsidP="00940CFA">
      <w:pPr>
        <w:ind w:firstLine="851"/>
        <w:jc w:val="both"/>
        <w:rPr>
          <w:b/>
          <w:bCs/>
          <w:sz w:val="28"/>
          <w:szCs w:val="28"/>
        </w:rPr>
      </w:pPr>
    </w:p>
    <w:p w:rsidR="00EC5E6F" w:rsidRPr="00940CFA" w:rsidRDefault="00EC5E6F" w:rsidP="00940CFA">
      <w:pPr>
        <w:ind w:firstLine="851"/>
        <w:jc w:val="both"/>
        <w:rPr>
          <w:b/>
          <w:bCs/>
          <w:sz w:val="28"/>
          <w:szCs w:val="28"/>
        </w:rPr>
      </w:pPr>
    </w:p>
    <w:p w:rsidR="00940CFA" w:rsidRDefault="00940CFA" w:rsidP="00940CFA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940CFA">
        <w:rPr>
          <w:b/>
          <w:bCs/>
          <w:sz w:val="28"/>
          <w:szCs w:val="28"/>
        </w:rPr>
        <w:t>Перечень товаров, работ, услуг для обеспечения му</w:t>
      </w:r>
      <w:r w:rsidR="00390D59">
        <w:rPr>
          <w:b/>
          <w:bCs/>
          <w:sz w:val="28"/>
          <w:szCs w:val="28"/>
        </w:rPr>
        <w:t xml:space="preserve">ниципальных нужд </w:t>
      </w:r>
      <w:proofErr w:type="gramStart"/>
      <w:r w:rsidR="00390D59">
        <w:rPr>
          <w:b/>
          <w:bCs/>
          <w:sz w:val="28"/>
          <w:szCs w:val="28"/>
        </w:rPr>
        <w:t>Новосергиевского</w:t>
      </w:r>
      <w:r w:rsidRPr="00940CFA">
        <w:rPr>
          <w:b/>
          <w:bCs/>
          <w:sz w:val="28"/>
          <w:szCs w:val="28"/>
        </w:rPr>
        <w:t xml:space="preserve">  сельского</w:t>
      </w:r>
      <w:proofErr w:type="gramEnd"/>
      <w:r w:rsidRPr="00940CFA">
        <w:rPr>
          <w:b/>
          <w:bCs/>
          <w:sz w:val="28"/>
          <w:szCs w:val="28"/>
        </w:rPr>
        <w:t xml:space="preserve"> поселения Крыловского  района, подлежащих обязательному нормированию</w:t>
      </w:r>
      <w:r w:rsidRPr="00940CFA">
        <w:rPr>
          <w:color w:val="000000"/>
          <w:sz w:val="28"/>
          <w:szCs w:val="28"/>
        </w:rPr>
        <w:t xml:space="preserve"> </w:t>
      </w:r>
    </w:p>
    <w:p w:rsidR="00EC5E6F" w:rsidRDefault="00EC5E6F" w:rsidP="00940CFA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940CFA" w:rsidRPr="00940CFA" w:rsidRDefault="00940CFA" w:rsidP="00940CFA">
      <w:pPr>
        <w:suppressAutoHyphens/>
        <w:ind w:firstLine="709"/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326"/>
        <w:gridCol w:w="2175"/>
        <w:gridCol w:w="2651"/>
        <w:gridCol w:w="1767"/>
      </w:tblGrid>
      <w:tr w:rsidR="00940CFA" w:rsidRPr="00B62B97" w:rsidTr="00EC5E6F">
        <w:tc>
          <w:tcPr>
            <w:tcW w:w="341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121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136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Функциональное назначение товара, работы, услуги</w:t>
            </w: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Единицы измерения </w:t>
            </w:r>
          </w:p>
        </w:tc>
      </w:tr>
      <w:tr w:rsidR="00940CFA" w:rsidRPr="00B62B97" w:rsidTr="00EC5E6F">
        <w:tc>
          <w:tcPr>
            <w:tcW w:w="341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5</w:t>
            </w:r>
          </w:p>
        </w:tc>
      </w:tr>
      <w:tr w:rsidR="00940CFA" w:rsidRPr="00B62B97" w:rsidTr="00EC5E6F">
        <w:tc>
          <w:tcPr>
            <w:tcW w:w="341" w:type="pct"/>
            <w:vMerge w:val="restar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Автотранспортные средства</w:t>
            </w:r>
          </w:p>
        </w:tc>
        <w:tc>
          <w:tcPr>
            <w:tcW w:w="1136" w:type="pct"/>
            <w:vMerge w:val="restart"/>
            <w:shd w:val="clear" w:color="auto" w:fill="auto"/>
          </w:tcPr>
          <w:p w:rsidR="00940CFA" w:rsidRPr="00B62B97" w:rsidRDefault="00940CFA" w:rsidP="00940CF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Транспортное обслуживание руководства </w:t>
            </w: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Количество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Ед. на 1 шт. единицу.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Начальная максимальная цена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руб. за 1 ед.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Срок эксплуатации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год (лет)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Объем двигателя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 куб. см.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Мощность двигателя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62B97">
              <w:rPr>
                <w:color w:val="000000"/>
                <w:sz w:val="26"/>
                <w:szCs w:val="26"/>
              </w:rPr>
              <w:t>л.с</w:t>
            </w:r>
            <w:proofErr w:type="spellEnd"/>
            <w:r w:rsidRPr="00B62B97">
              <w:rPr>
                <w:color w:val="000000"/>
                <w:sz w:val="26"/>
                <w:szCs w:val="26"/>
              </w:rPr>
              <w:t>.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Расход топлива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л. на 100 км.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Комплектация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Класс топлива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Евро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Срок гарантии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лет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Объем гарантии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c>
          <w:tcPr>
            <w:tcW w:w="341" w:type="pct"/>
            <w:vMerge w:val="restar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Мебель</w:t>
            </w:r>
          </w:p>
        </w:tc>
        <w:tc>
          <w:tcPr>
            <w:tcW w:w="1136" w:type="pct"/>
            <w:vMerge w:val="restart"/>
            <w:shd w:val="clear" w:color="auto" w:fill="auto"/>
          </w:tcPr>
          <w:p w:rsidR="00940CFA" w:rsidRPr="00B62B97" w:rsidRDefault="00940CFA" w:rsidP="00940CF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Оборудование кабинета руковод</w:t>
            </w:r>
            <w:r>
              <w:rPr>
                <w:color w:val="000000"/>
                <w:sz w:val="26"/>
                <w:szCs w:val="26"/>
              </w:rPr>
              <w:t>ства</w:t>
            </w:r>
            <w:r w:rsidRPr="00B62B9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Комплектация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Ед. на 1 шт. единицу.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Материал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Срок эксплуатации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год (лет)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Срок гарантии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лет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Объем гарантии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c>
          <w:tcPr>
            <w:tcW w:w="341" w:type="pct"/>
            <w:vMerge w:val="restar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Электронно-вычислительная </w:t>
            </w:r>
            <w:r w:rsidRPr="00B62B97">
              <w:rPr>
                <w:color w:val="000000"/>
                <w:sz w:val="26"/>
                <w:szCs w:val="26"/>
              </w:rPr>
              <w:lastRenderedPageBreak/>
              <w:t>техника и иная офисная техника</w:t>
            </w:r>
          </w:p>
        </w:tc>
        <w:tc>
          <w:tcPr>
            <w:tcW w:w="1136" w:type="pct"/>
            <w:vMerge w:val="restart"/>
            <w:shd w:val="clear" w:color="auto" w:fill="auto"/>
          </w:tcPr>
          <w:p w:rsidR="00940CFA" w:rsidRPr="00EC5E6F" w:rsidRDefault="00940CFA" w:rsidP="00EC5E6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EC5E6F">
              <w:rPr>
                <w:color w:val="000000"/>
                <w:sz w:val="26"/>
                <w:szCs w:val="26"/>
              </w:rPr>
              <w:lastRenderedPageBreak/>
              <w:t xml:space="preserve">Обеспечение компьютерами </w:t>
            </w:r>
            <w:r w:rsidRPr="00EC5E6F">
              <w:rPr>
                <w:color w:val="000000"/>
                <w:sz w:val="26"/>
                <w:szCs w:val="26"/>
              </w:rPr>
              <w:lastRenderedPageBreak/>
              <w:t xml:space="preserve">рабочих мест сотрудников </w:t>
            </w: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lastRenderedPageBreak/>
              <w:t xml:space="preserve">Комплектация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Количество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Ед. на 1 </w:t>
            </w:r>
            <w:r w:rsidRPr="00B62B97">
              <w:rPr>
                <w:color w:val="000000"/>
                <w:sz w:val="26"/>
                <w:szCs w:val="26"/>
              </w:rPr>
              <w:lastRenderedPageBreak/>
              <w:t>штатную единицу.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Технические характеристики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Срок эксплуатации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год (лет)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Срок гарантии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лет 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Объем гарантии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Срок эксплуатации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Срок гарантии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Объем гарантии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rPr>
          <w:gridAfter w:val="4"/>
          <w:wAfter w:w="4659" w:type="pct"/>
        </w:trPr>
        <w:tc>
          <w:tcPr>
            <w:tcW w:w="341" w:type="pct"/>
            <w:shd w:val="clear" w:color="auto" w:fill="auto"/>
          </w:tcPr>
          <w:p w:rsidR="00940CFA" w:rsidRPr="00B62B97" w:rsidRDefault="00940CFA" w:rsidP="00EC5E6F">
            <w:pPr>
              <w:suppressAutoHyphens/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 w:rsidRPr="00B62B97">
              <w:rPr>
                <w:b/>
                <w:color w:val="000000"/>
                <w:sz w:val="26"/>
                <w:szCs w:val="26"/>
                <w:lang w:val="en-US"/>
              </w:rPr>
              <w:t>II.</w:t>
            </w:r>
          </w:p>
        </w:tc>
      </w:tr>
      <w:tr w:rsidR="00940CFA" w:rsidRPr="00B62B97" w:rsidTr="00EC5E6F">
        <w:tc>
          <w:tcPr>
            <w:tcW w:w="341" w:type="pct"/>
            <w:vMerge w:val="restart"/>
            <w:shd w:val="clear" w:color="auto" w:fill="auto"/>
          </w:tcPr>
          <w:p w:rsidR="00940CFA" w:rsidRPr="00B62B97" w:rsidRDefault="00EC5E6F" w:rsidP="00EC5E6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940CFA" w:rsidRPr="00B62B97">
              <w:rPr>
                <w:color w:val="000000"/>
                <w:sz w:val="26"/>
                <w:szCs w:val="26"/>
              </w:rPr>
              <w:t>.1.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Услуги по техническому обслуживанию автотранспортных средств</w:t>
            </w:r>
          </w:p>
        </w:tc>
        <w:tc>
          <w:tcPr>
            <w:tcW w:w="1136" w:type="pct"/>
            <w:vMerge w:val="restar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Проведение регламентных работ, связанных с эксплуатацией автомобилей, предназначенных для руководства органа исполнительной власти субъекта Российской Федерации</w:t>
            </w: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Состав услуг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раз в год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Стоимость нормо-часа работ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Срок гарантии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лет </w:t>
            </w:r>
          </w:p>
        </w:tc>
      </w:tr>
      <w:tr w:rsidR="00940CFA" w:rsidRPr="00B62B97" w:rsidTr="00EC5E6F">
        <w:tc>
          <w:tcPr>
            <w:tcW w:w="341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40CFA" w:rsidRPr="00B62B97" w:rsidRDefault="00940CFA" w:rsidP="004D7A1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2B97">
              <w:rPr>
                <w:color w:val="000000"/>
                <w:sz w:val="26"/>
                <w:szCs w:val="26"/>
              </w:rPr>
              <w:t xml:space="preserve">Объем гарантии </w:t>
            </w:r>
          </w:p>
        </w:tc>
        <w:tc>
          <w:tcPr>
            <w:tcW w:w="923" w:type="pct"/>
            <w:shd w:val="clear" w:color="auto" w:fill="auto"/>
          </w:tcPr>
          <w:p w:rsidR="00940CFA" w:rsidRPr="00B62B97" w:rsidRDefault="00940CFA" w:rsidP="004D7A1A">
            <w:pPr>
              <w:suppressAutoHyphens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40CFA" w:rsidRPr="00B62B97" w:rsidRDefault="00940CFA" w:rsidP="00940CFA">
      <w:pPr>
        <w:suppressAutoHyphens/>
        <w:spacing w:line="360" w:lineRule="auto"/>
        <w:rPr>
          <w:b/>
          <w:sz w:val="26"/>
          <w:szCs w:val="26"/>
        </w:rPr>
      </w:pPr>
    </w:p>
    <w:p w:rsidR="00940CFA" w:rsidRPr="008D3034" w:rsidRDefault="00940CFA" w:rsidP="00940CFA">
      <w:pPr>
        <w:jc w:val="center"/>
        <w:rPr>
          <w:sz w:val="28"/>
          <w:szCs w:val="28"/>
        </w:rPr>
      </w:pPr>
    </w:p>
    <w:p w:rsidR="004B1B06" w:rsidRPr="00EC5E6F" w:rsidRDefault="00EC5E6F">
      <w:pPr>
        <w:rPr>
          <w:sz w:val="28"/>
          <w:szCs w:val="28"/>
        </w:rPr>
      </w:pPr>
      <w:r w:rsidRPr="00EC5E6F">
        <w:rPr>
          <w:sz w:val="28"/>
          <w:szCs w:val="28"/>
        </w:rPr>
        <w:t xml:space="preserve">Эксперт                                                     </w:t>
      </w:r>
      <w:r w:rsidR="00390D59">
        <w:rPr>
          <w:sz w:val="28"/>
          <w:szCs w:val="28"/>
        </w:rPr>
        <w:t>М.С.Тарасенко</w:t>
      </w:r>
    </w:p>
    <w:sectPr w:rsidR="004B1B06" w:rsidRPr="00EC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4AF7"/>
    <w:multiLevelType w:val="hybridMultilevel"/>
    <w:tmpl w:val="B2109D3A"/>
    <w:lvl w:ilvl="0" w:tplc="F8EE48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FA"/>
    <w:rsid w:val="00000747"/>
    <w:rsid w:val="00390D59"/>
    <w:rsid w:val="004B1B06"/>
    <w:rsid w:val="00883B05"/>
    <w:rsid w:val="00940CFA"/>
    <w:rsid w:val="00A20C01"/>
    <w:rsid w:val="00B85438"/>
    <w:rsid w:val="00E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EE200-C5D0-4046-AEF3-1E0BF3A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0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40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54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20C01"/>
    <w:pPr>
      <w:spacing w:line="360" w:lineRule="exact"/>
      <w:ind w:firstLine="720"/>
      <w:jc w:val="both"/>
    </w:pPr>
    <w:rPr>
      <w:kern w:val="2"/>
      <w:sz w:val="28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A20C01"/>
    <w:rPr>
      <w:rFonts w:ascii="Times New Roman" w:eastAsia="Times New Roman" w:hAnsi="Times New Roman" w:cs="Times New Roman"/>
      <w:kern w:val="2"/>
      <w:sz w:val="28"/>
      <w:szCs w:val="20"/>
      <w:lang w:val="x-none" w:eastAsia="ar-SA"/>
    </w:rPr>
  </w:style>
  <w:style w:type="paragraph" w:styleId="a7">
    <w:name w:val="No Spacing"/>
    <w:uiPriority w:val="1"/>
    <w:qFormat/>
    <w:rsid w:val="00A2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A20C01"/>
    <w:pPr>
      <w:widowControl w:val="0"/>
      <w:autoSpaceDE w:val="0"/>
      <w:autoSpaceDN w:val="0"/>
      <w:adjustRightInd w:val="0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C355-C31F-4220-9354-AE92A8B5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1</cp:lastModifiedBy>
  <cp:revision>7</cp:revision>
  <cp:lastPrinted>2015-10-29T05:28:00Z</cp:lastPrinted>
  <dcterms:created xsi:type="dcterms:W3CDTF">2014-07-30T11:20:00Z</dcterms:created>
  <dcterms:modified xsi:type="dcterms:W3CDTF">2015-10-29T05:30:00Z</dcterms:modified>
</cp:coreProperties>
</file>